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color w:val="FF0000"/>
          <w:sz w:val="24"/>
        </w:rPr>
      </w:pPr>
    </w:p>
    <w:p>
      <w:pPr>
        <w:rPr>
          <w:rFonts w:hint="eastAsia"/>
          <w:color w:val="FF0000"/>
          <w:sz w:val="24"/>
        </w:rPr>
      </w:pPr>
    </w:p>
    <w:p>
      <w:pPr>
        <w:rPr>
          <w:rFonts w:hint="eastAsia"/>
          <w:color w:val="FF0000"/>
          <w:sz w:val="24"/>
        </w:rPr>
      </w:pPr>
    </w:p>
    <w:p>
      <w:pPr>
        <w:rPr>
          <w:rFonts w:hint="eastAsia"/>
          <w:color w:val="FF0000"/>
          <w:sz w:val="24"/>
        </w:rPr>
      </w:pPr>
    </w:p>
    <w:p>
      <w:pPr>
        <w:spacing w:line="400" w:lineRule="exact"/>
        <w:jc w:val="center"/>
        <w:rPr>
          <w:rFonts w:hint="eastAsia" w:eastAsia="方正大标宋简体"/>
          <w:b/>
          <w:color w:val="FF0000"/>
          <w:w w:val="50"/>
          <w:sz w:val="24"/>
        </w:rPr>
      </w:pPr>
    </w:p>
    <w:p>
      <w:pPr>
        <w:jc w:val="center"/>
        <w:rPr>
          <w:rFonts w:hint="eastAsia" w:eastAsia="方正大标宋简体"/>
          <w:b/>
          <w:color w:val="FF0000"/>
          <w:w w:val="80"/>
          <w:sz w:val="120"/>
        </w:rPr>
      </w:pPr>
      <w:r>
        <w:rPr>
          <w:rFonts w:hint="eastAsia" w:eastAsia="方正大标宋简体"/>
          <w:b/>
          <w:color w:val="FF0000"/>
          <w:w w:val="80"/>
          <w:sz w:val="120"/>
        </w:rPr>
        <w:t>淮北师范大学文件</w:t>
      </w:r>
    </w:p>
    <w:p>
      <w:pPr>
        <w:spacing w:line="1600" w:lineRule="exact"/>
        <w:jc w:val="center"/>
        <w:rPr>
          <w:rFonts w:hint="eastAsia" w:ascii="仿宋_GB2312" w:eastAsia="仿宋_GB2312"/>
          <w:color w:val="FF0000"/>
          <w:spacing w:val="100"/>
          <w:w w:val="66"/>
          <w:sz w:val="32"/>
          <w:szCs w:val="32"/>
        </w:rPr>
      </w:pPr>
      <w:bookmarkStart w:id="0" w:name="文号"/>
      <w:r>
        <w:rPr>
          <w:rFonts w:hint="eastAsia" w:ascii="仿宋_GB2312" w:eastAsia="仿宋_GB2312"/>
          <w:sz w:val="32"/>
          <w:szCs w:val="32"/>
        </w:rPr>
        <w:t>校行字〔2020〕64号</w:t>
      </w:r>
      <w:bookmarkEnd w:id="0"/>
    </w:p>
    <w:p>
      <w:pPr>
        <w:rPr>
          <w:rFonts w:hint="eastAsia" w:ascii="仿宋_GB2312" w:eastAsia="仿宋_GB2312"/>
          <w:color w:val="FF0000"/>
          <w:sz w:val="32"/>
          <w:szCs w:val="32"/>
        </w:rPr>
      </w:pPr>
      <w:r>
        <w:rPr>
          <w:rFonts w:hint="eastAsia" w:ascii="仿宋_GB2312" w:eastAsia="仿宋_GB2312"/>
          <w:color w:val="FF0000"/>
          <w:sz w:val="32"/>
          <w:szCs w:val="32"/>
        </w:rPr>
        <w:pict>
          <v:line id="_x0000_s1026" o:spid="_x0000_s1026" o:spt="20" style="position:absolute;left:0pt;margin-left:0pt;margin-top:1.4pt;height:0.05pt;width:450pt;z-index:251659264;mso-width-relative:page;mso-height-relative:page;" filled="f" stroked="t" coordsize="21600,21600">
            <v:path arrowok="t"/>
            <v:fill on="f" focussize="0,0"/>
            <v:stroke weight="4pt" color="#FF0000"/>
            <v:imagedata o:title=""/>
            <o:lock v:ext="edit" grouping="f" rotation="f" text="f" aspectratio="f"/>
          </v:line>
        </w:pict>
      </w:r>
      <w:r>
        <w:rPr>
          <w:rFonts w:hint="eastAsia" w:ascii="仿宋_GB2312" w:eastAsia="仿宋_GB2312"/>
          <w:color w:val="FF0000"/>
          <w:sz w:val="32"/>
          <w:szCs w:val="32"/>
          <w:bdr w:val="single" w:color="auto" w:sz="24" w:space="0"/>
        </w:rPr>
        <w:t xml:space="preserve">                                                                                  </w:t>
      </w:r>
    </w:p>
    <w:p>
      <w:pPr>
        <w:rPr>
          <w:rFonts w:hint="eastAsia" w:ascii="方正小标宋简体" w:hAnsi="宋体" w:eastAsia="方正小标宋简体" w:cs="宋体"/>
          <w:b/>
          <w:bCs/>
          <w:sz w:val="44"/>
          <w:szCs w:val="44"/>
        </w:rPr>
      </w:pPr>
      <w:r>
        <w:rPr>
          <w:rFonts w:hint="eastAsia" w:ascii="方正小标宋简体" w:hAnsi="宋体" w:eastAsia="方正小标宋简体" w:cs="宋体"/>
          <w:b/>
          <w:bCs/>
          <w:sz w:val="44"/>
          <w:szCs w:val="44"/>
        </w:rPr>
        <w:t>关于印发《淮北师范大学内聘教授、副教授</w:t>
      </w:r>
    </w:p>
    <w:p>
      <w:pPr>
        <w:adjustRightInd w:val="0"/>
        <w:snapToGrid w:val="0"/>
        <w:spacing w:line="360" w:lineRule="auto"/>
        <w:jc w:val="center"/>
        <w:rPr>
          <w:rFonts w:hint="eastAsia" w:ascii="方正小标宋简体" w:hAnsi="宋体" w:eastAsia="方正小标宋简体" w:cs="宋体"/>
          <w:b/>
          <w:bCs/>
          <w:sz w:val="44"/>
          <w:szCs w:val="44"/>
        </w:rPr>
      </w:pPr>
      <w:r>
        <w:rPr>
          <w:rFonts w:hint="eastAsia" w:ascii="方正小标宋简体" w:hAnsi="宋体" w:eastAsia="方正小标宋简体" w:cs="宋体"/>
          <w:b/>
          <w:bCs/>
          <w:sz w:val="44"/>
          <w:szCs w:val="44"/>
        </w:rPr>
        <w:t>暂行办法》的通知</w:t>
      </w:r>
    </w:p>
    <w:p>
      <w:pPr>
        <w:rPr>
          <w:rFonts w:hint="eastAsia" w:ascii="方正小标宋简体" w:eastAsia="方正小标宋简体"/>
          <w:color w:val="FF0000"/>
          <w:sz w:val="32"/>
          <w:szCs w:val="32"/>
          <w:bdr w:val="single" w:color="auto" w:sz="24" w:space="0"/>
        </w:rPr>
      </w:pPr>
      <w:r>
        <w:rPr>
          <w:rFonts w:hint="eastAsia" w:ascii="仿宋_GB2312" w:hAnsi="仿宋_GB2312" w:eastAsia="仿宋_GB2312" w:cs="仿宋_GB2312"/>
          <w:bCs/>
          <w:sz w:val="32"/>
          <w:szCs w:val="32"/>
        </w:rPr>
        <w:t>各单位、各部门：</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《淮北师范大学内聘教授、副教授暂行办法》已经2020年9月28日校党委常委会审定通过，现予印发，请遵照执行。</w:t>
      </w:r>
    </w:p>
    <w:p>
      <w:pPr>
        <w:ind w:firstLine="645"/>
        <w:rPr>
          <w:rFonts w:hint="eastAsia" w:ascii="仿宋_GB2312" w:hAnsi="仿宋_GB2312" w:eastAsia="仿宋_GB2312" w:cs="仿宋_GB2312"/>
          <w:sz w:val="32"/>
          <w:szCs w:val="32"/>
        </w:rPr>
      </w:pP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淮北师</w:t>
      </w:r>
      <w:r>
        <w:rPr>
          <w:rFonts w:hint="eastAsia" w:ascii="仿宋_GB2312" w:hAnsi="仿宋_GB2312" w:eastAsia="仿宋_GB2312" w:cs="仿宋_GB2312"/>
          <w:sz w:val="32"/>
          <w:szCs w:val="32"/>
        </w:rPr>
        <w:pict>
          <v:shape id="_x0000_s1027" o:spid="_x0000_s1027" o:spt="201" type="#_x0000_t201" style="position:absolute;left:0pt;margin-left:311.6pt;margin-top:586.1pt;height:113.25pt;width:113.25pt;mso-position-horizontal-relative:page;mso-position-vertical-relative:page;z-index:-251655168;mso-width-relative:page;mso-height-relative:page;" o:ole="t" filled="f" stroked="f" coordsize="21600,21600">
            <v:path/>
            <v:fill on="f" focussize="0,0"/>
            <v:stroke on="f"/>
            <v:imagedata r:id="rId7" o:title=""/>
            <o:lock v:ext="edit"/>
          </v:shape>
          <w:control r:id="rId6" w:name="SignatureCtrl2" w:shapeid="_x0000_s1027"/>
        </w:pict>
      </w:r>
      <w:r>
        <w:rPr>
          <w:rFonts w:hint="eastAsia" w:ascii="仿宋_GB2312" w:hAnsi="仿宋_GB2312" w:eastAsia="仿宋_GB2312" w:cs="仿宋_GB2312"/>
          <w:sz w:val="32"/>
          <w:szCs w:val="32"/>
        </w:rPr>
        <w:t>范大学</w:t>
      </w:r>
    </w:p>
    <w:p>
      <w:pPr>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2020年1</w:t>
      </w:r>
      <w:r>
        <w:rPr>
          <w:rFonts w:hint="eastAsia" w:ascii="仿宋_GB2312" w:hAnsi="仿宋_GB2312" w:eastAsia="仿宋_GB2312" w:cs="仿宋_GB2312"/>
          <w:sz w:val="32"/>
          <w:szCs w:val="32"/>
        </w:rPr>
        <w:pict>
          <v:shape id="_x0000_s1028" o:spid="_x0000_s1028" o:spt="201" type="#_x0000_t201" style="position:absolute;left:0pt;margin-left:314.6pt;margin-top:558.4pt;height:0.75pt;width:0.75pt;mso-position-horizontal-relative:page;mso-position-vertical-relative:page;z-index:-251656192;mso-width-relative:page;mso-height-relative:page;" o:ole="t" filled="f" stroked="f" coordsize="21600,21600">
            <v:path/>
            <v:fill on="f" focussize="0,0"/>
            <v:stroke on="f"/>
            <v:imagedata r:id="rId9" o:title=""/>
            <o:lock v:ext="edit"/>
          </v:shape>
          <w:control r:id="rId8" w:name="SignatureCtrl1" w:shapeid="_x0000_s1028"/>
        </w:pict>
      </w:r>
      <w:r>
        <w:rPr>
          <w:rFonts w:hint="eastAsia" w:ascii="仿宋_GB2312" w:hAnsi="仿宋_GB2312" w:eastAsia="仿宋_GB2312" w:cs="仿宋_GB2312"/>
          <w:sz w:val="32"/>
          <w:szCs w:val="32"/>
        </w:rPr>
        <w:t>0月29日</w:t>
      </w:r>
    </w:p>
    <w:p>
      <w:pPr>
        <w:ind w:firstLine="645"/>
        <w:rPr>
          <w:rFonts w:hint="eastAsia" w:ascii="仿宋_GB2312" w:hAnsi="仿宋_GB2312" w:eastAsia="仿宋_GB2312" w:cs="仿宋_GB2312"/>
          <w:sz w:val="32"/>
          <w:szCs w:val="32"/>
        </w:rPr>
      </w:pPr>
    </w:p>
    <w:p>
      <w:pPr>
        <w:adjustRightInd w:val="0"/>
        <w:snapToGrid w:val="0"/>
        <w:spacing w:line="360" w:lineRule="auto"/>
        <w:ind w:firstLine="640" w:firstLineChars="200"/>
        <w:rPr>
          <w:rFonts w:hint="eastAsia" w:ascii="仿宋_GB2312" w:hAnsi="仿宋" w:eastAsia="仿宋_GB2312" w:cs="仿宋"/>
          <w:sz w:val="32"/>
          <w:szCs w:val="32"/>
        </w:rPr>
      </w:pPr>
    </w:p>
    <w:p>
      <w:pPr>
        <w:adjustRightInd w:val="0"/>
        <w:snapToGrid w:val="0"/>
        <w:spacing w:line="360" w:lineRule="auto"/>
        <w:ind w:firstLine="640" w:firstLineChars="200"/>
        <w:rPr>
          <w:rFonts w:hint="eastAsia" w:ascii="仿宋_GB2312" w:hAnsi="仿宋" w:eastAsia="仿宋_GB2312" w:cs="仿宋"/>
          <w:sz w:val="32"/>
          <w:szCs w:val="32"/>
        </w:rPr>
      </w:pPr>
    </w:p>
    <w:p>
      <w:pPr>
        <w:adjustRightInd w:val="0"/>
        <w:snapToGrid w:val="0"/>
        <w:spacing w:line="360" w:lineRule="auto"/>
        <w:jc w:val="center"/>
        <w:rPr>
          <w:rFonts w:hint="eastAsia" w:ascii="黑体" w:hAnsi="黑体" w:eastAsia="黑体" w:cs="仿宋"/>
          <w:sz w:val="36"/>
          <w:szCs w:val="36"/>
        </w:rPr>
      </w:pPr>
      <w:r>
        <w:rPr>
          <w:rFonts w:hint="eastAsia" w:ascii="黑体" w:hAnsi="黑体" w:eastAsia="黑体" w:cs="仿宋_GB2312"/>
          <w:sz w:val="36"/>
          <w:szCs w:val="36"/>
        </w:rPr>
        <w:t>淮北师范大学内聘教授、副教授暂行办法</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为进一步深化人事制度改革，充分调动教师的积极性、稳定师资队伍、吸引高层次人才，同时解决学校高级职称岗位不足问题，结合我校教师队伍建设实际状况，本着公平、公正、择优的聘任原则，特制定本办法。</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一、申报条件</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1.推荐评审标准按《安徽省普通本科高等学校教师专业技术资格申报条件（试行）》（皖教人〔2016〕1号）及省教育厅、人社厅其他文件的有关条款执行。</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2.作为高层次人才引进的学术骨干内聘条件，按照学校当年度招聘方案中的有关规定执行。</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二、申报范围</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1.符合</w:t>
      </w:r>
      <w:r>
        <w:rPr>
          <w:rFonts w:hint="eastAsia" w:ascii="仿宋_GB2312" w:hAnsi="宋体" w:eastAsia="仿宋_GB2312"/>
          <w:sz w:val="32"/>
          <w:szCs w:val="32"/>
        </w:rPr>
        <w:t>省厅职评文件的</w:t>
      </w:r>
      <w:r>
        <w:rPr>
          <w:rFonts w:hint="eastAsia" w:ascii="仿宋_GB2312" w:hAnsi="仿宋" w:eastAsia="仿宋_GB2312" w:cs="仿宋"/>
          <w:sz w:val="32"/>
          <w:szCs w:val="32"/>
        </w:rPr>
        <w:t>条件要求，未能取得教授或副教授任职资格的，可相应申报内聘教授、副教授。</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2.由外单位引进的其他系列正高、副高级专业技术职务人员，可相应申报内聘教授（四级）、副教授(七级)。</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3.作为高层次人才引进的学术骨干，根据其实际业绩成果，可直接申报内聘副教授（五级）或教授（四级）。</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三、推荐指标数</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1.推荐指标数（推荐比例），由学校根据申报情况研究决定，各学院按照公布的指标数进行推荐；各学院上轮内聘时舍去的余数，在本轮聘任时累加使用，多入的余数在本轮聘任时相应扣除，计算结果四舍五入。</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2.为推动学校事业发展，吸引高层次人才，作为学术骨干引进的内聘副教授（五级）或教授（四级）不受指标数限制。</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3.参加前一年学校职称评审，未通过评审专家委员会评审的，可根据本人意愿，相应申报内聘副教授（七级）或教授（四级），不受指标数限制。</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四、聘任期限</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color w:val="auto"/>
          <w:sz w:val="32"/>
          <w:szCs w:val="32"/>
          <w:highlight w:val="none"/>
        </w:rPr>
        <w:t>1.学校每年组织一次内聘工作，</w:t>
      </w:r>
      <w:r>
        <w:rPr>
          <w:rFonts w:hint="eastAsia" w:ascii="仿宋_GB2312" w:hAnsi="仿宋" w:eastAsia="仿宋_GB2312" w:cs="仿宋"/>
          <w:sz w:val="32"/>
          <w:szCs w:val="32"/>
        </w:rPr>
        <w:t>聘期为四年，签订聘用合同。期满须根据学校工作安排和聘任条件重新竞聘，凡上一轮聘任时已使用过的业绩成果全部清零，不得在下一轮竞聘时使用；新一轮聘任时不符合聘任条件或未通过竞聘的，按实有专业技术职务执行相关待遇。</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2.作为学术骨干引进、内聘副教授（五级）或教授（四级）的服务期，按照引进时协议约定执行。</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3.聘期内如达到法定退休年龄，则内聘待遇自动中止，按实有专业技术职务执行相关待遇。</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五、聘任程序</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（一）内聘教授、副教授聘任程序</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1.个人申请</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个人向所在学院提出申请，并提交教学、科研业绩的证明材料。</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2.资格初审</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各学院组建考评组，对申报人员的基本条件进行初审，并将符合基本条件人员的材料提交人事处进行形式审查。</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3.公布推荐指标数</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4.考评、推荐</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各学院考评组，从政治思想、师德师风、业务水平、工作态度、工作业绩等方面对符合基本条件的申报人员进行全面考核，做出考核结论，结果公示无异议后（5个工作日），</w:t>
      </w:r>
      <w:r>
        <w:rPr>
          <w:rFonts w:hint="eastAsia" w:ascii="仿宋_GB2312" w:hAnsi="宋体" w:eastAsia="仿宋_GB2312"/>
          <w:sz w:val="32"/>
          <w:szCs w:val="32"/>
        </w:rPr>
        <w:t>在学校推荐指标数内向学校</w:t>
      </w:r>
      <w:r>
        <w:rPr>
          <w:rFonts w:hint="eastAsia" w:ascii="仿宋_GB2312" w:hAnsi="仿宋" w:eastAsia="仿宋_GB2312" w:cs="仿宋"/>
          <w:sz w:val="32"/>
          <w:szCs w:val="32"/>
        </w:rPr>
        <w:t>职称工作办公室等额推荐。</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5.资格审查</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学校职称工作办公室会同教务处、科学研究部等职能部门对申请者进行资格审查。教务部门负责审查教学工作相关的所有材料并加盖公章，科研部门负责审查科学研究工作相关的材料并加盖公章，学校职称工作办公室负责审核申报者的学历、资历等。</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6.审定、审批</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学校职称工作办公室将审查合格人员名单提交学校职称评审工作领导小组进行审定，确定内聘人员，经公示无异议（或有异议但经查证不属实）后，报校长办公会审批。</w:t>
      </w:r>
    </w:p>
    <w:p>
      <w:pPr>
        <w:adjustRightInd w:val="0"/>
        <w:snapToGrid w:val="0"/>
        <w:spacing w:line="360" w:lineRule="auto"/>
        <w:ind w:firstLine="640" w:firstLineChars="200"/>
        <w:rPr>
          <w:rFonts w:hint="eastAsia" w:ascii="仿宋_GB2312" w:hAnsi="宋体" w:eastAsia="仿宋_GB2312" w:cs="宋体"/>
          <w:color w:val="000000"/>
          <w:kern w:val="0"/>
          <w:sz w:val="32"/>
          <w:szCs w:val="32"/>
        </w:rPr>
      </w:pPr>
      <w:r>
        <w:rPr>
          <w:rFonts w:hint="eastAsia" w:ascii="仿宋_GB2312" w:hAnsi="仿宋" w:eastAsia="仿宋_GB2312" w:cs="仿宋"/>
          <w:sz w:val="32"/>
          <w:szCs w:val="32"/>
        </w:rPr>
        <w:t>7.签订聘用</w:t>
      </w:r>
      <w:r>
        <w:rPr>
          <w:rFonts w:hint="eastAsia" w:ascii="仿宋_GB2312" w:hAnsi="宋体" w:eastAsia="仿宋_GB2312" w:cs="宋体"/>
          <w:color w:val="000000"/>
          <w:kern w:val="0"/>
          <w:sz w:val="32"/>
          <w:szCs w:val="32"/>
        </w:rPr>
        <w:t>协议</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（二）学术骨干内聘程序</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引进的学术骨干，由人事处负责审核，符合当年度招聘方案中学术骨干的聘任条件，根据其实际业绩成果，提交校长办公会进行审批，校长办公会通过后即可内聘为副教授（五级）或教授（四级）。</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六、聘任待遇</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1.内聘教授、副教授在聘期间，分别按专业技术主体岗四级、七级享受岗位工资，绩效工资按学校绩效工资方案执行，但不与档案工资挂钩。</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2.以学术骨干内聘副教授（五级）或教授（四级），在约定服务期分别享受专业技术主体岗五级或四级待遇；服务期满，按实际职称兑现待遇。内聘期间待遇，不与档案工资挂钩。</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3.内聘期内如转评为其他系列职称，内聘资格自动解除，按转评后的职称享受相关待遇。</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七、考核与解聘</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1.考核</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内聘教授、副教授分别按照学校教授、副教授的考核要求参加年度考核；学术骨干内聘副教授（五级）或教授（四级）按照引进时协议约定，由人事处负责考核。</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2.解聘</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内聘教授、副教授如有下列情形之一者，予以解聘：</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（1）受党纪、政纪处分者；</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（2）因失职给国家和学校造成重大损失者；</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（3）有学术不端等严重师德失范行为者；</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（4）内聘期间两次年度考核为基本合格者或一次不合格者；</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（5）因患病或连续</w:t>
      </w:r>
      <w:bookmarkStart w:id="1" w:name="_GoBack"/>
      <w:bookmarkEnd w:id="1"/>
      <w:r>
        <w:rPr>
          <w:rFonts w:hint="eastAsia" w:ascii="仿宋_GB2312" w:hAnsi="仿宋" w:eastAsia="仿宋_GB2312" w:cs="仿宋"/>
          <w:sz w:val="32"/>
          <w:szCs w:val="32"/>
        </w:rPr>
        <w:t>一年以上因私、因公出国超期不归等原因无法继续履行岗位职责者；</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（6）其他经学校认定不适合继续履行岗位职责者。</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八、其他</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1.符合聘任条件的机关部门工作人员，纳入相关学院竞聘；</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highlight w:val="none"/>
        </w:rPr>
        <w:t>2.本办法自下发之日开始执行，</w:t>
      </w:r>
      <w:r>
        <w:rPr>
          <w:rFonts w:hint="eastAsia" w:ascii="仿宋_GB2312" w:hAnsi="仿宋" w:eastAsia="仿宋_GB2312" w:cs="仿宋"/>
          <w:sz w:val="32"/>
          <w:szCs w:val="32"/>
        </w:rPr>
        <w:t>所有内聘工作均按本办法执行；如在执行过程中遇上级主管部门政策调整，按上级主管部门政策执行。</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3.聘任工作中的申诉或争议，涉及教学问题的由学校教学委员会受理；涉及学术问题的由学校学术委员会受理；其它问题由学校纪委受理，受理部门提出初步处理意见后，最终由学校职称评审工作领导小组裁定。</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4.项目、论文等业绩成果的认定，需参照《淮北师范大学2020年度高校教师（实验）系列等专业技术职务评审推荐实施细则》，如文件修订，按最新文件执行。</w:t>
      </w:r>
    </w:p>
    <w:p>
      <w:pPr>
        <w:adjustRightInd w:val="0"/>
        <w:snapToGrid w:val="0"/>
        <w:spacing w:line="360" w:lineRule="auto"/>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5.本办法由人事处负责解释。</w:t>
      </w: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pBdr>
          <w:top w:val="single" w:color="auto" w:sz="4" w:space="1"/>
          <w:bottom w:val="single" w:color="auto" w:sz="4" w:space="1"/>
        </w:pBdr>
        <w:ind w:firstLine="272" w:firstLineChars="100"/>
        <w:rPr>
          <w:rFonts w:ascii="仿宋_GB2312" w:eastAsia="仿宋_GB2312"/>
          <w:sz w:val="28"/>
          <w:szCs w:val="28"/>
        </w:rPr>
      </w:pPr>
      <w:r>
        <w:rPr>
          <w:rFonts w:hint="eastAsia" w:ascii="仿宋_GB2312" w:eastAsia="仿宋_GB2312"/>
          <w:spacing w:val="-4"/>
          <w:sz w:val="28"/>
          <w:szCs w:val="28"/>
        </w:rPr>
        <w:t>淮北师范大学党政办公室               2020年10月29日制发</w:t>
      </w:r>
    </w:p>
    <w:p>
      <w:pPr>
        <w:rPr>
          <w:rFonts w:hint="eastAsia" w:ascii="仿宋_GB2312"/>
          <w:sz w:val="28"/>
          <w:szCs w:val="28"/>
        </w:rPr>
      </w:pPr>
      <w:r>
        <w:rPr>
          <w:rFonts w:hint="eastAsia" w:ascii="仿宋_GB2312" w:hAnsi="宋体" w:eastAsia="仿宋_GB2312"/>
          <w:sz w:val="28"/>
          <w:szCs w:val="28"/>
        </w:rPr>
        <w:t xml:space="preserve">                                         （此件主动公开）</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Fonts w:hint="eastAsia" w:ascii="仿宋_GB2312" w:eastAsia="仿宋_GB2312"/>
        <w:b/>
        <w:sz w:val="28"/>
        <w:szCs w:val="28"/>
      </w:rPr>
    </w:pPr>
    <w:r>
      <w:rPr>
        <w:rStyle w:val="6"/>
        <w:rFonts w:hint="eastAsia" w:ascii="仿宋_GB2312" w:eastAsia="仿宋_GB2312"/>
        <w:b/>
        <w:sz w:val="28"/>
        <w:szCs w:val="28"/>
      </w:rPr>
      <w:t>—</w:t>
    </w:r>
    <w:r>
      <w:rPr>
        <w:rStyle w:val="6"/>
        <w:rFonts w:hint="eastAsia" w:ascii="仿宋_GB2312" w:eastAsia="仿宋_GB2312"/>
        <w:b/>
        <w:sz w:val="28"/>
        <w:szCs w:val="28"/>
      </w:rPr>
      <w:fldChar w:fldCharType="begin"/>
    </w:r>
    <w:r>
      <w:rPr>
        <w:rStyle w:val="6"/>
        <w:rFonts w:hint="eastAsia" w:ascii="仿宋_GB2312" w:eastAsia="仿宋_GB2312"/>
        <w:b/>
        <w:sz w:val="28"/>
        <w:szCs w:val="28"/>
      </w:rPr>
      <w:instrText xml:space="preserve">PAGE  </w:instrText>
    </w:r>
    <w:r>
      <w:rPr>
        <w:rStyle w:val="6"/>
        <w:rFonts w:hint="eastAsia" w:ascii="仿宋_GB2312" w:eastAsia="仿宋_GB2312"/>
        <w:b/>
        <w:sz w:val="28"/>
        <w:szCs w:val="28"/>
      </w:rPr>
      <w:fldChar w:fldCharType="separate"/>
    </w:r>
    <w:r>
      <w:rPr>
        <w:rStyle w:val="6"/>
        <w:rFonts w:ascii="仿宋_GB2312" w:eastAsia="仿宋_GB2312"/>
        <w:b/>
        <w:sz w:val="28"/>
        <w:szCs w:val="28"/>
      </w:rPr>
      <w:t>2</w:t>
    </w:r>
    <w:r>
      <w:rPr>
        <w:rStyle w:val="6"/>
        <w:rFonts w:hint="eastAsia" w:ascii="仿宋_GB2312" w:eastAsia="仿宋_GB2312"/>
        <w:b/>
        <w:sz w:val="28"/>
        <w:szCs w:val="28"/>
      </w:rPr>
      <w:fldChar w:fldCharType="end"/>
    </w:r>
    <w:r>
      <w:rPr>
        <w:rStyle w:val="6"/>
        <w:rFonts w:hint="eastAsia" w:ascii="仿宋_GB2312" w:eastAsia="仿宋_GB2312"/>
        <w:b/>
        <w:sz w:val="28"/>
        <w:szCs w:val="28"/>
      </w:rPr>
      <w:t>—</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433"/>
    <w:rsid w:val="0000680D"/>
    <w:rsid w:val="00026565"/>
    <w:rsid w:val="00084903"/>
    <w:rsid w:val="000F7F83"/>
    <w:rsid w:val="00144C0B"/>
    <w:rsid w:val="00155643"/>
    <w:rsid w:val="001D6BCD"/>
    <w:rsid w:val="00207654"/>
    <w:rsid w:val="002264A6"/>
    <w:rsid w:val="00234330"/>
    <w:rsid w:val="002416CB"/>
    <w:rsid w:val="0026443C"/>
    <w:rsid w:val="0029781A"/>
    <w:rsid w:val="002D414C"/>
    <w:rsid w:val="002F3603"/>
    <w:rsid w:val="002F3995"/>
    <w:rsid w:val="002F4044"/>
    <w:rsid w:val="00346949"/>
    <w:rsid w:val="00386432"/>
    <w:rsid w:val="00405C6E"/>
    <w:rsid w:val="00481140"/>
    <w:rsid w:val="004D2977"/>
    <w:rsid w:val="004D380A"/>
    <w:rsid w:val="005406CE"/>
    <w:rsid w:val="005B73FA"/>
    <w:rsid w:val="00626A2A"/>
    <w:rsid w:val="00677ADE"/>
    <w:rsid w:val="00697F14"/>
    <w:rsid w:val="00717910"/>
    <w:rsid w:val="00781A01"/>
    <w:rsid w:val="00786832"/>
    <w:rsid w:val="007A02F4"/>
    <w:rsid w:val="007F1CD7"/>
    <w:rsid w:val="00823BFC"/>
    <w:rsid w:val="00856388"/>
    <w:rsid w:val="00864617"/>
    <w:rsid w:val="008845E1"/>
    <w:rsid w:val="008B6433"/>
    <w:rsid w:val="008D15F7"/>
    <w:rsid w:val="00927768"/>
    <w:rsid w:val="00933449"/>
    <w:rsid w:val="009919A1"/>
    <w:rsid w:val="009C14BC"/>
    <w:rsid w:val="009E24E9"/>
    <w:rsid w:val="009F6088"/>
    <w:rsid w:val="00A15AEB"/>
    <w:rsid w:val="00B40533"/>
    <w:rsid w:val="00C65B3A"/>
    <w:rsid w:val="00C7611B"/>
    <w:rsid w:val="00D528A9"/>
    <w:rsid w:val="00DA6E9C"/>
    <w:rsid w:val="00E2179D"/>
    <w:rsid w:val="00E80069"/>
    <w:rsid w:val="00EE5CEA"/>
    <w:rsid w:val="00F201CE"/>
    <w:rsid w:val="00F47459"/>
    <w:rsid w:val="00F5347B"/>
    <w:rsid w:val="00FA6BB2"/>
    <w:rsid w:val="07F00648"/>
    <w:rsid w:val="29310257"/>
    <w:rsid w:val="4D84685F"/>
    <w:rsid w:val="545377D8"/>
    <w:rsid w:val="5FC469BA"/>
    <w:rsid w:val="7AE25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control" Target="activeX/activeX2.xml"/><Relationship Id="rId7" Type="http://schemas.openxmlformats.org/officeDocument/2006/relationships/image" Target="media/image1.wmf"/><Relationship Id="rId6" Type="http://schemas.openxmlformats.org/officeDocument/2006/relationships/control" Target="activeX/activeX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2.bin"/></Relationships>
</file>

<file path=word/activeX/_rels/activeX2.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activeX/activeX2.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2159</Words>
  <Characters>2210</Characters>
  <Lines>0</Lines>
  <Paragraphs>0</Paragraphs>
  <TotalTime>14</TotalTime>
  <ScaleCrop>false</ScaleCrop>
  <LinksUpToDate>false</LinksUpToDate>
  <CharactersWithSpaces>2395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2021-02-16T11:03:00Z</dcterms:created>
  <dc:creator>Administrator</dc:creator>
  <cp:lastModifiedBy>ren5678</cp:lastModifiedBy>
  <dcterms:modified xsi:type="dcterms:W3CDTF">2022-04-07T02:16:57Z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6A9FBB2D9AD44817BCF8E3F569B3933B</vt:lpwstr>
  </property>
</Properties>
</file>